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0F1D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color w:val="333333"/>
          <w:sz w:val="20"/>
          <w:szCs w:val="20"/>
        </w:rPr>
      </w:pPr>
      <w:r w:rsidRPr="00C5445E">
        <w:rPr>
          <w:rFonts w:ascii="Arial" w:eastAsia="Times New Roman" w:hAnsi="Arial" w:cs="Arial"/>
          <w:b/>
          <w:bCs/>
          <w:color w:val="000000"/>
          <w:sz w:val="20"/>
          <w:szCs w:val="20"/>
        </w:rPr>
        <w:t>Rural Broadband Solutions Plc (the “Company”)</w:t>
      </w:r>
    </w:p>
    <w:p w14:paraId="0D99BC75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color w:val="333333"/>
          <w:sz w:val="20"/>
          <w:szCs w:val="20"/>
        </w:rPr>
      </w:pPr>
      <w:r w:rsidRPr="00C5445E">
        <w:rPr>
          <w:rFonts w:ascii="Arial" w:eastAsia="Times New Roman" w:hAnsi="Arial" w:cs="Arial"/>
          <w:b/>
          <w:bCs/>
          <w:color w:val="000000"/>
          <w:sz w:val="20"/>
          <w:szCs w:val="20"/>
        </w:rPr>
        <w:t>Holdings in the Company</w:t>
      </w:r>
    </w:p>
    <w:p w14:paraId="5DDF7DCA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color w:val="333333"/>
          <w:sz w:val="20"/>
          <w:szCs w:val="20"/>
        </w:rPr>
      </w:pPr>
      <w:r w:rsidRPr="00C5445E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61E98B71" w14:textId="23488550" w:rsidR="00C5445E" w:rsidRPr="00C5445E" w:rsidRDefault="00C5445E" w:rsidP="00C5445E">
      <w:pPr>
        <w:shd w:val="clear" w:color="auto" w:fill="FFFFFF"/>
        <w:spacing w:after="150"/>
        <w:jc w:val="both"/>
        <w:divId w:val="1250191508"/>
        <w:rPr>
          <w:rFonts w:ascii="Arial" w:eastAsia="Times New Roman" w:hAnsi="Arial" w:cs="Arial"/>
          <w:color w:val="333333"/>
          <w:sz w:val="20"/>
          <w:szCs w:val="20"/>
        </w:rPr>
      </w:pPr>
      <w:r w:rsidRPr="00C5445E">
        <w:rPr>
          <w:rFonts w:ascii="Arial" w:eastAsia="Times New Roman" w:hAnsi="Arial" w:cs="Arial"/>
          <w:color w:val="000000"/>
          <w:sz w:val="20"/>
          <w:szCs w:val="20"/>
        </w:rPr>
        <w:t>Rural Broadband Solutions Plc (AQSE: RBBS) announces that the Company has received the following TR-1 notification from </w:t>
      </w:r>
      <w:r w:rsidR="001640D1">
        <w:rPr>
          <w:rFonts w:ascii="Arial" w:eastAsia="Times New Roman" w:hAnsi="Arial" w:cs="Arial"/>
          <w:color w:val="000000"/>
          <w:sz w:val="20"/>
          <w:szCs w:val="20"/>
        </w:rPr>
        <w:t>Brompton Asset Management Limited</w:t>
      </w:r>
      <w:r w:rsidRPr="00C5445E">
        <w:rPr>
          <w:rFonts w:ascii="Arial" w:eastAsia="Times New Roman" w:hAnsi="Arial" w:cs="Arial"/>
          <w:color w:val="000000"/>
          <w:sz w:val="20"/>
          <w:szCs w:val="20"/>
        </w:rPr>
        <w:t>, which is set out below.</w:t>
      </w:r>
      <w:r w:rsidR="001640D1">
        <w:rPr>
          <w:rFonts w:ascii="Arial" w:eastAsia="Times New Roman" w:hAnsi="Arial" w:cs="Arial"/>
          <w:color w:val="000000"/>
          <w:sz w:val="20"/>
          <w:szCs w:val="20"/>
        </w:rPr>
        <w:t xml:space="preserve"> The notification </w:t>
      </w:r>
      <w:r w:rsidR="001640D1" w:rsidRPr="001640D1">
        <w:rPr>
          <w:rFonts w:ascii="Arial" w:eastAsia="Times New Roman" w:hAnsi="Arial" w:cs="Arial"/>
          <w:color w:val="000000"/>
          <w:sz w:val="20"/>
          <w:szCs w:val="20"/>
        </w:rPr>
        <w:t>represents voting rights held by accounts managed by Brompton Asset Management Ltd, including New Star Investment Trust plc.</w:t>
      </w:r>
    </w:p>
    <w:p w14:paraId="76A65FCB" w14:textId="77777777" w:rsidR="000374EB" w:rsidRDefault="000374EB" w:rsidP="00C5445E">
      <w:pPr>
        <w:shd w:val="clear" w:color="auto" w:fill="FFFFFF"/>
        <w:divId w:val="1250191508"/>
        <w:rPr>
          <w:rFonts w:ascii="Arial" w:eastAsia="Times New Roman" w:hAnsi="Arial" w:cs="Arial"/>
          <w:color w:val="000000"/>
          <w:sz w:val="20"/>
          <w:szCs w:val="20"/>
        </w:rPr>
      </w:pPr>
    </w:p>
    <w:p w14:paraId="48F039C9" w14:textId="77777777" w:rsidR="000374EB" w:rsidRDefault="000374EB" w:rsidP="00C5445E">
      <w:pPr>
        <w:shd w:val="clear" w:color="auto" w:fill="FFFFFF"/>
        <w:divId w:val="1250191508"/>
        <w:rPr>
          <w:rFonts w:ascii="Arial" w:eastAsia="Times New Roman" w:hAnsi="Arial" w:cs="Arial"/>
          <w:color w:val="000000"/>
          <w:sz w:val="20"/>
          <w:szCs w:val="20"/>
        </w:rPr>
      </w:pPr>
    </w:p>
    <w:p w14:paraId="57975ED1" w14:textId="67B5EA73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color w:val="333333"/>
          <w:sz w:val="20"/>
          <w:szCs w:val="20"/>
        </w:rPr>
      </w:pPr>
      <w:r w:rsidRPr="00C5445E">
        <w:rPr>
          <w:rFonts w:ascii="Arial" w:eastAsia="Times New Roman" w:hAnsi="Arial" w:cs="Arial"/>
          <w:color w:val="000000"/>
          <w:sz w:val="20"/>
          <w:szCs w:val="20"/>
        </w:rPr>
        <w:t>For further information please contact:</w:t>
      </w:r>
    </w:p>
    <w:p w14:paraId="51A8192E" w14:textId="7FD05117" w:rsidR="00C5445E" w:rsidRPr="00C5445E" w:rsidRDefault="00C5445E" w:rsidP="00C5445E">
      <w:pPr>
        <w:shd w:val="clear" w:color="auto" w:fill="FFFFFF"/>
        <w:jc w:val="both"/>
        <w:divId w:val="1250191508"/>
        <w:rPr>
          <w:rFonts w:ascii="Arial" w:eastAsia="Times New Roman" w:hAnsi="Arial" w:cs="Arial"/>
          <w:b/>
          <w:bCs/>
          <w:sz w:val="20"/>
          <w:szCs w:val="20"/>
          <w:lang w:val="en"/>
        </w:rPr>
      </w:pPr>
      <w:r w:rsidRPr="00C5445E"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 </w:t>
      </w:r>
    </w:p>
    <w:p w14:paraId="38DAE66F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b/>
          <w:bCs/>
          <w:sz w:val="20"/>
          <w:szCs w:val="20"/>
          <w:lang w:val="en"/>
        </w:rPr>
      </w:pPr>
    </w:p>
    <w:p w14:paraId="40C6F94E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  <w:r w:rsidRPr="00C5445E">
        <w:rPr>
          <w:rFonts w:ascii="Arial" w:eastAsia="Times New Roman" w:hAnsi="Arial" w:cs="Arial"/>
          <w:sz w:val="20"/>
          <w:szCs w:val="20"/>
          <w:lang w:val="en"/>
        </w:rPr>
        <w:t xml:space="preserve">Keith Harris </w:t>
      </w:r>
    </w:p>
    <w:p w14:paraId="2C56FC08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  <w:r w:rsidRPr="00C5445E">
        <w:rPr>
          <w:rFonts w:ascii="Arial" w:eastAsia="Times New Roman" w:hAnsi="Arial" w:cs="Arial"/>
          <w:sz w:val="20"/>
          <w:szCs w:val="20"/>
          <w:lang w:val="en"/>
        </w:rPr>
        <w:t>Executive Chairman</w:t>
      </w:r>
    </w:p>
    <w:p w14:paraId="200F7874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  <w:r w:rsidRPr="00C5445E">
        <w:rPr>
          <w:rFonts w:ascii="Arial" w:eastAsia="Times New Roman" w:hAnsi="Arial" w:cs="Arial"/>
          <w:sz w:val="20"/>
          <w:szCs w:val="20"/>
          <w:lang w:val="en"/>
        </w:rPr>
        <w:t>Rural Broadband Solutions Plc</w:t>
      </w:r>
    </w:p>
    <w:p w14:paraId="0C8CC0CD" w14:textId="77777777" w:rsidR="00C5445E" w:rsidRPr="00C5445E" w:rsidRDefault="00941BF3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-US"/>
        </w:rPr>
      </w:pPr>
      <w:hyperlink r:id="rId4" w:history="1">
        <w:r w:rsidR="00C5445E" w:rsidRPr="00C5445E">
          <w:rPr>
            <w:rStyle w:val="Hyperlink"/>
            <w:rFonts w:ascii="Arial" w:eastAsia="Times New Roman" w:hAnsi="Arial" w:cs="Arial"/>
            <w:color w:val="000000"/>
            <w:sz w:val="20"/>
            <w:szCs w:val="20"/>
          </w:rPr>
          <w:t>www.ruralbroadbandsolutions.com</w:t>
        </w:r>
      </w:hyperlink>
    </w:p>
    <w:p w14:paraId="0ECD36F7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  <w:r w:rsidRPr="00C5445E">
        <w:rPr>
          <w:rFonts w:ascii="Arial" w:eastAsia="Times New Roman" w:hAnsi="Arial" w:cs="Arial"/>
          <w:sz w:val="20"/>
          <w:szCs w:val="20"/>
          <w:u w:val="single"/>
          <w:lang w:val="en"/>
        </w:rPr>
        <w:t>info@ruralbroadbandsolutions.com</w:t>
      </w:r>
    </w:p>
    <w:p w14:paraId="71C267F0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</w:p>
    <w:p w14:paraId="4A1A4398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  <w:bookmarkStart w:id="0" w:name="_Hlk54026305"/>
      <w:r w:rsidRPr="00C5445E">
        <w:rPr>
          <w:rFonts w:ascii="Arial" w:eastAsia="Times New Roman" w:hAnsi="Arial" w:cs="Arial"/>
          <w:sz w:val="20"/>
          <w:szCs w:val="20"/>
          <w:lang w:val="en"/>
        </w:rPr>
        <w:t xml:space="preserve">AQSE Stock Exchange </w:t>
      </w:r>
      <w:bookmarkEnd w:id="0"/>
      <w:r w:rsidRPr="00C5445E">
        <w:rPr>
          <w:rFonts w:ascii="Arial" w:eastAsia="Times New Roman" w:hAnsi="Arial" w:cs="Arial"/>
          <w:sz w:val="20"/>
          <w:szCs w:val="20"/>
          <w:lang w:val="en"/>
        </w:rPr>
        <w:t xml:space="preserve">Corporate Adviser   </w:t>
      </w:r>
    </w:p>
    <w:p w14:paraId="6C9FFD27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  <w:r w:rsidRPr="00C5445E">
        <w:rPr>
          <w:rFonts w:ascii="Arial" w:eastAsia="Times New Roman" w:hAnsi="Arial" w:cs="Arial"/>
          <w:sz w:val="20"/>
          <w:szCs w:val="20"/>
          <w:lang w:val="en"/>
        </w:rPr>
        <w:t xml:space="preserve">Alfred Henry Corporate Finance Limited </w:t>
      </w:r>
    </w:p>
    <w:p w14:paraId="50BFA054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  <w:r w:rsidRPr="00C5445E">
        <w:rPr>
          <w:rFonts w:ascii="Arial" w:eastAsia="Times New Roman" w:hAnsi="Arial" w:cs="Arial"/>
          <w:sz w:val="20"/>
          <w:szCs w:val="20"/>
          <w:lang w:val="en"/>
        </w:rPr>
        <w:t>Jon Isaacs</w:t>
      </w:r>
    </w:p>
    <w:p w14:paraId="6276845D" w14:textId="77777777" w:rsidR="00C5445E" w:rsidRPr="00C5445E" w:rsidRDefault="00941BF3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  <w:hyperlink r:id="rId5" w:history="1">
        <w:r w:rsidR="00C5445E" w:rsidRPr="00C5445E">
          <w:rPr>
            <w:rStyle w:val="Hyperlink"/>
            <w:rFonts w:ascii="Arial" w:eastAsia="Times New Roman" w:hAnsi="Arial" w:cs="Arial"/>
            <w:color w:val="000000"/>
            <w:sz w:val="20"/>
            <w:szCs w:val="20"/>
            <w:lang w:val="en"/>
          </w:rPr>
          <w:t>jisaacs</w:t>
        </w:r>
        <w:bookmarkStart w:id="1" w:name="_Hlk54096462"/>
        <w:r w:rsidR="00C5445E" w:rsidRPr="00C5445E">
          <w:rPr>
            <w:rStyle w:val="Hyperlink"/>
            <w:rFonts w:ascii="Arial" w:eastAsia="Times New Roman" w:hAnsi="Arial" w:cs="Arial"/>
            <w:color w:val="000000"/>
            <w:sz w:val="20"/>
            <w:szCs w:val="20"/>
            <w:lang w:val="en"/>
          </w:rPr>
          <w:t>@</w:t>
        </w:r>
        <w:bookmarkEnd w:id="1"/>
        <w:r w:rsidR="00C5445E" w:rsidRPr="00C5445E">
          <w:rPr>
            <w:rStyle w:val="Hyperlink"/>
            <w:rFonts w:ascii="Arial" w:eastAsia="Times New Roman" w:hAnsi="Arial" w:cs="Arial"/>
            <w:color w:val="000000"/>
            <w:sz w:val="20"/>
            <w:szCs w:val="20"/>
            <w:lang w:val="en"/>
          </w:rPr>
          <w:t>alfredhenry.com</w:t>
        </w:r>
      </w:hyperlink>
      <w:r w:rsidR="00C5445E" w:rsidRPr="00C5445E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</w:p>
    <w:p w14:paraId="77C0D96B" w14:textId="77777777" w:rsidR="00C5445E" w:rsidRPr="00C5445E" w:rsidRDefault="00941BF3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  <w:hyperlink r:id="rId6" w:history="1">
        <w:r w:rsidR="00C5445E" w:rsidRPr="00C5445E">
          <w:rPr>
            <w:rStyle w:val="Hyperlink"/>
            <w:rFonts w:ascii="Arial" w:eastAsia="Times New Roman" w:hAnsi="Arial" w:cs="Arial"/>
            <w:color w:val="000000"/>
            <w:sz w:val="20"/>
            <w:szCs w:val="20"/>
            <w:lang w:val="en"/>
          </w:rPr>
          <w:t>www.alfredhenry.com</w:t>
        </w:r>
      </w:hyperlink>
      <w:r w:rsidR="00C5445E" w:rsidRPr="00C5445E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</w:p>
    <w:p w14:paraId="3C61E4D1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  <w:r w:rsidRPr="00C5445E">
        <w:rPr>
          <w:rFonts w:ascii="Arial" w:eastAsia="Times New Roman" w:hAnsi="Arial" w:cs="Arial"/>
          <w:sz w:val="20"/>
          <w:szCs w:val="20"/>
          <w:lang w:val="en"/>
        </w:rPr>
        <w:t>Tel: +44 (0) 203 772 0021</w:t>
      </w:r>
    </w:p>
    <w:p w14:paraId="12940503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</w:p>
    <w:p w14:paraId="53910AD2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  <w:r w:rsidRPr="00C5445E">
        <w:rPr>
          <w:rFonts w:ascii="Arial" w:eastAsia="Times New Roman" w:hAnsi="Arial" w:cs="Arial"/>
          <w:sz w:val="20"/>
          <w:szCs w:val="20"/>
          <w:lang w:val="en"/>
        </w:rPr>
        <w:t>AQSE Stock Exchange Corporate Broker</w:t>
      </w:r>
      <w:r w:rsidRPr="00C5445E">
        <w:rPr>
          <w:rFonts w:ascii="Arial" w:eastAsia="Times New Roman" w:hAnsi="Arial" w:cs="Arial"/>
          <w:sz w:val="20"/>
          <w:szCs w:val="20"/>
          <w:lang w:val="en"/>
        </w:rPr>
        <w:tab/>
      </w:r>
    </w:p>
    <w:p w14:paraId="7E59061B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  <w:proofErr w:type="spellStart"/>
      <w:r w:rsidRPr="00C5445E">
        <w:rPr>
          <w:rFonts w:ascii="Arial" w:eastAsia="Times New Roman" w:hAnsi="Arial" w:cs="Arial"/>
          <w:sz w:val="20"/>
          <w:szCs w:val="20"/>
          <w:lang w:val="en"/>
        </w:rPr>
        <w:t>Hybridan</w:t>
      </w:r>
      <w:proofErr w:type="spellEnd"/>
      <w:r w:rsidRPr="00C5445E">
        <w:rPr>
          <w:rFonts w:ascii="Arial" w:eastAsia="Times New Roman" w:hAnsi="Arial" w:cs="Arial"/>
          <w:sz w:val="20"/>
          <w:szCs w:val="20"/>
          <w:lang w:val="en"/>
        </w:rPr>
        <w:t xml:space="preserve"> LLP</w:t>
      </w:r>
      <w:r w:rsidRPr="00C5445E">
        <w:rPr>
          <w:rFonts w:ascii="Arial" w:eastAsia="Times New Roman" w:hAnsi="Arial" w:cs="Arial"/>
          <w:sz w:val="20"/>
          <w:szCs w:val="20"/>
          <w:lang w:val="en"/>
        </w:rPr>
        <w:tab/>
      </w:r>
    </w:p>
    <w:p w14:paraId="384C489F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  <w:r w:rsidRPr="00C5445E">
        <w:rPr>
          <w:rFonts w:ascii="Arial" w:eastAsia="Times New Roman" w:hAnsi="Arial" w:cs="Arial"/>
          <w:sz w:val="20"/>
          <w:szCs w:val="20"/>
          <w:lang w:val="en"/>
        </w:rPr>
        <w:t>Claire Louise Noyce</w:t>
      </w:r>
    </w:p>
    <w:p w14:paraId="618ADDB1" w14:textId="77777777" w:rsidR="00C5445E" w:rsidRPr="00C5445E" w:rsidRDefault="00941BF3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  <w:hyperlink r:id="rId7" w:history="1">
        <w:r w:rsidR="00C5445E" w:rsidRPr="00C5445E">
          <w:rPr>
            <w:rStyle w:val="Hyperlink"/>
            <w:rFonts w:ascii="Arial" w:eastAsia="Times New Roman" w:hAnsi="Arial" w:cs="Arial"/>
            <w:color w:val="000000"/>
            <w:sz w:val="20"/>
            <w:szCs w:val="20"/>
          </w:rPr>
          <w:t>claire.noyce@hybridan.com</w:t>
        </w:r>
      </w:hyperlink>
    </w:p>
    <w:p w14:paraId="2767B8A7" w14:textId="77777777" w:rsidR="00C5445E" w:rsidRPr="00C5445E" w:rsidRDefault="00941BF3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  <w:hyperlink r:id="rId8" w:history="1">
        <w:r w:rsidR="00C5445E" w:rsidRPr="00C5445E">
          <w:rPr>
            <w:rStyle w:val="Hyperlink"/>
            <w:rFonts w:ascii="Arial" w:eastAsia="Times New Roman" w:hAnsi="Arial" w:cs="Arial"/>
            <w:color w:val="000000"/>
            <w:sz w:val="20"/>
            <w:szCs w:val="20"/>
          </w:rPr>
          <w:t>www.hybridan.com</w:t>
        </w:r>
      </w:hyperlink>
      <w:r w:rsidR="00C5445E" w:rsidRPr="00C5445E">
        <w:rPr>
          <w:rFonts w:ascii="Arial" w:eastAsia="Times New Roman" w:hAnsi="Arial" w:cs="Arial"/>
          <w:sz w:val="20"/>
          <w:szCs w:val="20"/>
          <w:lang w:val="en"/>
        </w:rPr>
        <w:tab/>
      </w:r>
    </w:p>
    <w:p w14:paraId="5123A0FB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  <w:r w:rsidRPr="00C5445E">
        <w:rPr>
          <w:rFonts w:ascii="Arial" w:eastAsia="Times New Roman" w:hAnsi="Arial" w:cs="Arial"/>
          <w:sz w:val="20"/>
          <w:szCs w:val="20"/>
          <w:lang w:val="en"/>
        </w:rPr>
        <w:t>+44 20 3764 2341</w:t>
      </w:r>
    </w:p>
    <w:p w14:paraId="5EE38D81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</w:p>
    <w:p w14:paraId="5AB88346" w14:textId="77777777" w:rsidR="00C5445E" w:rsidRPr="00C5445E" w:rsidRDefault="00C5445E" w:rsidP="00C5445E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</w:p>
    <w:p w14:paraId="73910678" w14:textId="1224AB4B" w:rsidR="00C5445E" w:rsidRDefault="00C5445E" w:rsidP="00941BF3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  <w:r w:rsidRPr="00C5445E">
        <w:rPr>
          <w:rFonts w:ascii="Arial" w:eastAsia="Times New Roman" w:hAnsi="Arial" w:cs="Arial"/>
          <w:sz w:val="20"/>
          <w:szCs w:val="20"/>
          <w:lang w:val="en"/>
        </w:rPr>
        <w:t xml:space="preserve">END </w:t>
      </w:r>
    </w:p>
    <w:p w14:paraId="23CC0E60" w14:textId="32CC886E" w:rsidR="00941BF3" w:rsidRDefault="00941BF3" w:rsidP="00941BF3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</w:p>
    <w:p w14:paraId="6B9AAA64" w14:textId="2787C025" w:rsidR="00941BF3" w:rsidRDefault="00941BF3" w:rsidP="00941BF3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</w:p>
    <w:p w14:paraId="1DE3066A" w14:textId="2979C21D" w:rsidR="00941BF3" w:rsidRDefault="00941BF3" w:rsidP="00941BF3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</w:p>
    <w:p w14:paraId="15554425" w14:textId="77777777" w:rsidR="00941BF3" w:rsidRDefault="00941BF3" w:rsidP="00941BF3">
      <w:pPr>
        <w:pStyle w:val="NormalWeb"/>
        <w:jc w:val="center"/>
        <w:divId w:val="12501915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TR-1: Standard form for notification of major holdings </w:t>
      </w:r>
    </w:p>
    <w:p w14:paraId="0323EF06" w14:textId="77777777" w:rsidR="00941BF3" w:rsidRDefault="00941BF3" w:rsidP="00941BF3">
      <w:pPr>
        <w:shd w:val="clear" w:color="auto" w:fill="7C173A"/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1. Issuer Details </w:t>
      </w:r>
    </w:p>
    <w:p w14:paraId="149579C5" w14:textId="77777777" w:rsidR="00941BF3" w:rsidRDefault="00941BF3" w:rsidP="00941BF3">
      <w:pPr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ISIN </w:t>
      </w:r>
    </w:p>
    <w:p w14:paraId="456D4413" w14:textId="77777777" w:rsidR="00941BF3" w:rsidRDefault="00941BF3" w:rsidP="00941BF3">
      <w:pPr>
        <w:divId w:val="1250191508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GB00B16GQ190 </w:t>
      </w:r>
    </w:p>
    <w:p w14:paraId="0BD95EA7" w14:textId="77777777" w:rsidR="00941BF3" w:rsidRDefault="00941BF3" w:rsidP="00941BF3">
      <w:pPr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Issuer Name </w:t>
      </w:r>
    </w:p>
    <w:p w14:paraId="2D10E6AA" w14:textId="77777777" w:rsidR="00941BF3" w:rsidRDefault="00941BF3" w:rsidP="00941BF3">
      <w:pPr>
        <w:divId w:val="1250191508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RURAL BROADBAND SOLUTIONS PLC </w:t>
      </w:r>
    </w:p>
    <w:p w14:paraId="7C6DD1DC" w14:textId="77777777" w:rsidR="00941BF3" w:rsidRDefault="00941BF3" w:rsidP="00941BF3">
      <w:pPr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UK or Non-UK Issuer </w:t>
      </w:r>
    </w:p>
    <w:p w14:paraId="1C18D76A" w14:textId="77777777" w:rsidR="00941BF3" w:rsidRDefault="00941BF3" w:rsidP="00941BF3">
      <w:pPr>
        <w:divId w:val="1250191508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UK </w:t>
      </w:r>
    </w:p>
    <w:p w14:paraId="000CC5F8" w14:textId="77777777" w:rsidR="00941BF3" w:rsidRDefault="00941BF3" w:rsidP="00941BF3">
      <w:pPr>
        <w:shd w:val="clear" w:color="auto" w:fill="7C173A"/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2. Reason for Notification </w:t>
      </w:r>
    </w:p>
    <w:p w14:paraId="05136103" w14:textId="77777777" w:rsidR="00941BF3" w:rsidRDefault="00941BF3" w:rsidP="00941BF3">
      <w:pPr>
        <w:divId w:val="1250191508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An acquisition or disposal of voting rights </w:t>
      </w:r>
    </w:p>
    <w:p w14:paraId="537D601F" w14:textId="77777777" w:rsidR="00941BF3" w:rsidRDefault="00941BF3" w:rsidP="00941BF3">
      <w:pPr>
        <w:shd w:val="clear" w:color="auto" w:fill="7C173A"/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3. Details of person subject to the notification obligation </w:t>
      </w:r>
    </w:p>
    <w:p w14:paraId="0BDD56F5" w14:textId="77777777" w:rsidR="00941BF3" w:rsidRDefault="00941BF3" w:rsidP="00941BF3">
      <w:pPr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Name </w:t>
      </w:r>
    </w:p>
    <w:p w14:paraId="455DA02A" w14:textId="77777777" w:rsidR="00941BF3" w:rsidRDefault="00941BF3" w:rsidP="00941BF3">
      <w:pPr>
        <w:divId w:val="1250191508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Brompton Asset Management Ltd </w:t>
      </w:r>
    </w:p>
    <w:p w14:paraId="33D636B6" w14:textId="77777777" w:rsidR="00941BF3" w:rsidRDefault="00941BF3" w:rsidP="00941BF3">
      <w:pPr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City of registered office (if applicable) </w:t>
      </w:r>
    </w:p>
    <w:p w14:paraId="3BFDBA96" w14:textId="77777777" w:rsidR="00941BF3" w:rsidRDefault="00941BF3" w:rsidP="00941BF3">
      <w:pPr>
        <w:divId w:val="1250191508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London </w:t>
      </w:r>
    </w:p>
    <w:p w14:paraId="0FEBD780" w14:textId="77777777" w:rsidR="00941BF3" w:rsidRDefault="00941BF3" w:rsidP="00941BF3">
      <w:pPr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Country of registered office (if applicable) </w:t>
      </w:r>
    </w:p>
    <w:p w14:paraId="65B6F628" w14:textId="77777777" w:rsidR="00941BF3" w:rsidRDefault="00941BF3" w:rsidP="00941BF3">
      <w:pPr>
        <w:divId w:val="1250191508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United Kingdom </w:t>
      </w:r>
    </w:p>
    <w:p w14:paraId="370E4043" w14:textId="77777777" w:rsidR="00941BF3" w:rsidRDefault="00941BF3" w:rsidP="00941BF3">
      <w:pPr>
        <w:shd w:val="clear" w:color="auto" w:fill="7C173A"/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lastRenderedPageBreak/>
        <w:t xml:space="preserve">4. Details of the shareholder </w:t>
      </w:r>
    </w:p>
    <w:tbl>
      <w:tblPr>
        <w:tblW w:w="425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  <w:gridCol w:w="1970"/>
        <w:gridCol w:w="2265"/>
      </w:tblGrid>
      <w:tr w:rsidR="00941BF3" w14:paraId="191DF7F7" w14:textId="77777777" w:rsidTr="00941BF3">
        <w:trPr>
          <w:divId w:val="1250191508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14:paraId="38C41B1D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Name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14:paraId="5650FA08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City of registered office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14:paraId="7B94DE38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Country of registered office </w:t>
            </w:r>
          </w:p>
        </w:tc>
      </w:tr>
      <w:tr w:rsidR="00941BF3" w14:paraId="0714EBB1" w14:textId="77777777" w:rsidTr="00941BF3">
        <w:trPr>
          <w:divId w:val="1250191508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DBE8EAE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New Star Investment Trust PLC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2747BC9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9BD87F0" w14:textId="77777777" w:rsidR="00941BF3" w:rsidRDefault="00941BF3" w:rsidP="002668B1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8A2A630" w14:textId="77777777" w:rsidR="00941BF3" w:rsidRDefault="00941BF3" w:rsidP="00941BF3">
      <w:pPr>
        <w:shd w:val="clear" w:color="auto" w:fill="7C173A"/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5. Date on which the threshold was crossed or reached </w:t>
      </w:r>
    </w:p>
    <w:p w14:paraId="22CE64D1" w14:textId="77777777" w:rsidR="00941BF3" w:rsidRDefault="00941BF3" w:rsidP="00941BF3">
      <w:pPr>
        <w:divId w:val="1250191508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21-Dec-2021 </w:t>
      </w:r>
    </w:p>
    <w:p w14:paraId="62FE768C" w14:textId="77777777" w:rsidR="00941BF3" w:rsidRDefault="00941BF3" w:rsidP="00941BF3">
      <w:pPr>
        <w:shd w:val="clear" w:color="auto" w:fill="7C173A"/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6. Date on which Issuer notified </w:t>
      </w:r>
    </w:p>
    <w:p w14:paraId="5716C3C8" w14:textId="77777777" w:rsidR="00941BF3" w:rsidRDefault="00941BF3" w:rsidP="00941BF3">
      <w:pPr>
        <w:divId w:val="1250191508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21-Dec-2021 </w:t>
      </w:r>
    </w:p>
    <w:p w14:paraId="1F61B137" w14:textId="77777777" w:rsidR="00941BF3" w:rsidRDefault="00941BF3" w:rsidP="00941BF3">
      <w:pPr>
        <w:shd w:val="clear" w:color="auto" w:fill="7C173A"/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7. Total positions of person(s) subject to the notification obligation </w:t>
      </w:r>
    </w:p>
    <w:tbl>
      <w:tblPr>
        <w:tblW w:w="45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1615"/>
        <w:gridCol w:w="1597"/>
        <w:gridCol w:w="1502"/>
        <w:gridCol w:w="1499"/>
      </w:tblGrid>
      <w:tr w:rsidR="00941BF3" w14:paraId="1CD911FE" w14:textId="77777777" w:rsidTr="00941BF3">
        <w:trPr>
          <w:divId w:val="1250191508"/>
        </w:trPr>
        <w:tc>
          <w:tcPr>
            <w:tcW w:w="0" w:type="auto"/>
            <w:vAlign w:val="center"/>
            <w:hideMark/>
          </w:tcPr>
          <w:p w14:paraId="01D8517E" w14:textId="77777777" w:rsidR="00941BF3" w:rsidRDefault="00941BF3" w:rsidP="002668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color w:val="FFFFFF"/>
              </w:rPr>
              <w:t>.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14:paraId="62BAFF53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% 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>of</w:t>
            </w:r>
            <w:proofErr w:type="gramEnd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 voting rights attached to shares (total of 8.A)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14:paraId="3AE207F8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% 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>of</w:t>
            </w:r>
            <w:proofErr w:type="gramEnd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 voting rights through financial instruments (total of 8.B 1 + 8.B 2)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14:paraId="0C588665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Total of both in % (8.A + 8.B)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14:paraId="3B28873D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Total number of voting rights held in issuer </w:t>
            </w:r>
          </w:p>
        </w:tc>
      </w:tr>
      <w:tr w:rsidR="00941BF3" w14:paraId="3311DBA7" w14:textId="77777777" w:rsidTr="00941BF3">
        <w:trPr>
          <w:divId w:val="1250191508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E940727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Resulting situation on the date on which threshold was crossed or reached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FE340C1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12.780000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C3800EE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0.000000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B889BFA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12.780000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2D4A6DB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46000000 </w:t>
            </w:r>
          </w:p>
        </w:tc>
      </w:tr>
      <w:tr w:rsidR="00941BF3" w14:paraId="30E98C2C" w14:textId="77777777" w:rsidTr="00941BF3">
        <w:trPr>
          <w:divId w:val="1250191508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F246312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Position of previous notification (if applicable)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1F98C5F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D8AE265" w14:textId="77777777" w:rsidR="00941BF3" w:rsidRDefault="00941BF3" w:rsidP="002668B1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41BF3E9" w14:textId="77777777" w:rsidR="00941BF3" w:rsidRDefault="00941BF3" w:rsidP="002668B1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F692CD3" w14:textId="77777777" w:rsidR="00941BF3" w:rsidRDefault="00941BF3" w:rsidP="002668B1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AB32EA8" w14:textId="77777777" w:rsidR="00941BF3" w:rsidRDefault="00941BF3" w:rsidP="00941BF3">
      <w:pPr>
        <w:shd w:val="clear" w:color="auto" w:fill="7C173A"/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8. Notified details of the resulting situation on the date on which the threshold was crossed or reached </w:t>
      </w:r>
    </w:p>
    <w:p w14:paraId="17119F20" w14:textId="77777777" w:rsidR="00941BF3" w:rsidRDefault="00941BF3" w:rsidP="00941BF3">
      <w:pPr>
        <w:shd w:val="clear" w:color="auto" w:fill="7C173A"/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8A. Voting rights attached to shares </w:t>
      </w:r>
    </w:p>
    <w:tbl>
      <w:tblPr>
        <w:tblW w:w="45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1755"/>
        <w:gridCol w:w="1527"/>
        <w:gridCol w:w="1724"/>
        <w:gridCol w:w="1432"/>
      </w:tblGrid>
      <w:tr w:rsidR="00941BF3" w14:paraId="4AB0ACB4" w14:textId="77777777" w:rsidTr="00941BF3">
        <w:trPr>
          <w:divId w:val="1250191508"/>
        </w:trPr>
        <w:tc>
          <w:tcPr>
            <w:tcW w:w="1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A125C07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Class/Type of shares ISIN 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>code(</w:t>
            </w:r>
            <w:proofErr w:type="gramEnd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if possible)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D61445F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Number of direct voting rights (DTR5.1)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788C376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Number of indirect voting rights (DTR5.2.1)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4BF3C44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% 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>of</w:t>
            </w:r>
            <w:proofErr w:type="gramEnd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 direct voting rights (DTR5.1)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777D198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% 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>of</w:t>
            </w:r>
            <w:proofErr w:type="gramEnd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 indirect voting rights (DTR5.2.1) </w:t>
            </w:r>
          </w:p>
        </w:tc>
      </w:tr>
      <w:tr w:rsidR="00941BF3" w14:paraId="5707B75D" w14:textId="77777777" w:rsidTr="00941BF3">
        <w:trPr>
          <w:divId w:val="1250191508"/>
        </w:trPr>
        <w:tc>
          <w:tcPr>
            <w:tcW w:w="1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6DE5239" w14:textId="77777777" w:rsidR="00941BF3" w:rsidRDefault="00941BF3" w:rsidP="002668B1">
            <w:pPr>
              <w:spacing w:before="75" w:after="150"/>
              <w:ind w:left="45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GB00B16GQJ90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A0556EF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46000000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9E4DCF9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BFE279A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12.780000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0423569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941BF3" w14:paraId="659730DD" w14:textId="77777777" w:rsidTr="00941BF3">
        <w:trPr>
          <w:divId w:val="1250191508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E1249CB" w14:textId="77777777" w:rsidR="00941BF3" w:rsidRDefault="00941BF3" w:rsidP="002668B1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Sub Total 8.A 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vAlign w:val="center"/>
            <w:hideMark/>
          </w:tcPr>
          <w:p w14:paraId="7EA5D6DF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46000000 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vAlign w:val="center"/>
            <w:hideMark/>
          </w:tcPr>
          <w:p w14:paraId="3B3118F5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12.780000% </w:t>
            </w:r>
          </w:p>
        </w:tc>
      </w:tr>
    </w:tbl>
    <w:p w14:paraId="743A8186" w14:textId="77777777" w:rsidR="00941BF3" w:rsidRDefault="00941BF3" w:rsidP="00941BF3">
      <w:pPr>
        <w:shd w:val="clear" w:color="auto" w:fill="7C173A"/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>8B1. Financial Instruments according to (DTR5.3.1</w:t>
      </w:r>
      <w:proofErr w:type="gramStart"/>
      <w:r>
        <w:rPr>
          <w:rFonts w:ascii="Verdana" w:eastAsia="Times New Roman" w:hAnsi="Verdana"/>
          <w:b/>
          <w:bCs/>
          <w:sz w:val="22"/>
          <w:szCs w:val="22"/>
        </w:rPr>
        <w:t>R.(</w:t>
      </w:r>
      <w:proofErr w:type="gramEnd"/>
      <w:r>
        <w:rPr>
          <w:rFonts w:ascii="Verdana" w:eastAsia="Times New Roman" w:hAnsi="Verdana"/>
          <w:b/>
          <w:bCs/>
          <w:sz w:val="22"/>
          <w:szCs w:val="22"/>
        </w:rPr>
        <w:t xml:space="preserve">1) (a)) </w:t>
      </w:r>
    </w:p>
    <w:tbl>
      <w:tblPr>
        <w:tblW w:w="45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989"/>
        <w:gridCol w:w="1885"/>
        <w:gridCol w:w="2847"/>
        <w:gridCol w:w="766"/>
      </w:tblGrid>
      <w:tr w:rsidR="00941BF3" w14:paraId="15DF5EF9" w14:textId="77777777" w:rsidTr="00941BF3">
        <w:trPr>
          <w:divId w:val="1250191508"/>
        </w:trPr>
        <w:tc>
          <w:tcPr>
            <w:tcW w:w="1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387D976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Type of financial instrument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DAE2703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Expiration date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D1B58D5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Exercise/conversion period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D2BCCCD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Number of voting rights that may be acquired if the instrument is exercised/converted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45CC431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% 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>of</w:t>
            </w:r>
            <w:proofErr w:type="gramEnd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 voting rights </w:t>
            </w:r>
          </w:p>
        </w:tc>
      </w:tr>
      <w:tr w:rsidR="00941BF3" w14:paraId="05366798" w14:textId="77777777" w:rsidTr="00941BF3">
        <w:trPr>
          <w:divId w:val="1250191508"/>
        </w:trPr>
        <w:tc>
          <w:tcPr>
            <w:tcW w:w="1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54B41C3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3269E5F" w14:textId="77777777" w:rsidR="00941BF3" w:rsidRDefault="00941BF3" w:rsidP="002668B1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B9675C2" w14:textId="77777777" w:rsidR="00941BF3" w:rsidRDefault="00941BF3" w:rsidP="002668B1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63065BF" w14:textId="77777777" w:rsidR="00941BF3" w:rsidRDefault="00941BF3" w:rsidP="002668B1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9BC3B29" w14:textId="77777777" w:rsidR="00941BF3" w:rsidRDefault="00941BF3" w:rsidP="002668B1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</w:tr>
      <w:tr w:rsidR="00941BF3" w14:paraId="4A5C2DB9" w14:textId="77777777" w:rsidTr="00941BF3">
        <w:trPr>
          <w:divId w:val="1250191508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330E194" w14:textId="77777777" w:rsidR="00941BF3" w:rsidRDefault="00941BF3" w:rsidP="002668B1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Sub Total 8.B1 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54A9673" w14:textId="77777777" w:rsidR="00941BF3" w:rsidRDefault="00941BF3" w:rsidP="002668B1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vAlign w:val="center"/>
            <w:hideMark/>
          </w:tcPr>
          <w:p w14:paraId="297A8FA6" w14:textId="77777777" w:rsidR="00941BF3" w:rsidRDefault="00941BF3" w:rsidP="002668B1">
            <w:pPr>
              <w:spacing w:before="75" w:after="150"/>
              <w:ind w:left="19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vAlign w:val="center"/>
            <w:hideMark/>
          </w:tcPr>
          <w:p w14:paraId="5DE58CEC" w14:textId="77777777" w:rsidR="00941BF3" w:rsidRDefault="00941BF3" w:rsidP="002668B1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D52F2F0" w14:textId="77777777" w:rsidR="00941BF3" w:rsidRDefault="00941BF3" w:rsidP="00941BF3">
      <w:pPr>
        <w:shd w:val="clear" w:color="auto" w:fill="7C173A"/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>8B2. Financial Instruments with similar economic effect according to (DTR5.3.1</w:t>
      </w:r>
      <w:proofErr w:type="gramStart"/>
      <w:r>
        <w:rPr>
          <w:rFonts w:ascii="Verdana" w:eastAsia="Times New Roman" w:hAnsi="Verdana"/>
          <w:b/>
          <w:bCs/>
          <w:sz w:val="22"/>
          <w:szCs w:val="22"/>
        </w:rPr>
        <w:t>R.(</w:t>
      </w:r>
      <w:proofErr w:type="gramEnd"/>
      <w:r>
        <w:rPr>
          <w:rFonts w:ascii="Verdana" w:eastAsia="Times New Roman" w:hAnsi="Verdana"/>
          <w:b/>
          <w:bCs/>
          <w:sz w:val="22"/>
          <w:szCs w:val="22"/>
        </w:rPr>
        <w:t xml:space="preserve">1) (b)) </w:t>
      </w:r>
    </w:p>
    <w:tbl>
      <w:tblPr>
        <w:tblW w:w="45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083"/>
        <w:gridCol w:w="2016"/>
        <w:gridCol w:w="1534"/>
        <w:gridCol w:w="1270"/>
        <w:gridCol w:w="990"/>
      </w:tblGrid>
      <w:tr w:rsidR="00941BF3" w14:paraId="0548655A" w14:textId="77777777" w:rsidTr="00941BF3">
        <w:trPr>
          <w:divId w:val="1250191508"/>
        </w:trPr>
        <w:tc>
          <w:tcPr>
            <w:tcW w:w="7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23ECE23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Type of financial instrument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E76CC3D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Expiration date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E860A7D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Exercise/conversion period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74D5572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Physical or cash settlement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CD3CFF4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Number of voting rights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4DD9FCD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% 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>of</w:t>
            </w:r>
            <w:proofErr w:type="gramEnd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 voting rights </w:t>
            </w:r>
          </w:p>
        </w:tc>
      </w:tr>
      <w:tr w:rsidR="00941BF3" w14:paraId="524D6A83" w14:textId="77777777" w:rsidTr="00941BF3">
        <w:trPr>
          <w:divId w:val="1250191508"/>
        </w:trPr>
        <w:tc>
          <w:tcPr>
            <w:tcW w:w="7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564D40F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8281D4A" w14:textId="77777777" w:rsidR="00941BF3" w:rsidRDefault="00941BF3" w:rsidP="002668B1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5F8718E" w14:textId="77777777" w:rsidR="00941BF3" w:rsidRDefault="00941BF3" w:rsidP="002668B1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7292DF9" w14:textId="77777777" w:rsidR="00941BF3" w:rsidRDefault="00941BF3" w:rsidP="002668B1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1D59E0C" w14:textId="77777777" w:rsidR="00941BF3" w:rsidRDefault="00941BF3" w:rsidP="002668B1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B1CFE1C" w14:textId="77777777" w:rsidR="00941BF3" w:rsidRDefault="00941BF3" w:rsidP="002668B1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</w:tr>
      <w:tr w:rsidR="00941BF3" w14:paraId="3CA30EB5" w14:textId="77777777" w:rsidTr="00941BF3">
        <w:trPr>
          <w:divId w:val="1250191508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EFC049E" w14:textId="77777777" w:rsidR="00941BF3" w:rsidRDefault="00941BF3" w:rsidP="002668B1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Sub Total 8.B2 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54A2A38" w14:textId="77777777" w:rsidR="00941BF3" w:rsidRDefault="00941BF3" w:rsidP="002668B1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vAlign w:val="center"/>
            <w:hideMark/>
          </w:tcPr>
          <w:p w14:paraId="294273E5" w14:textId="77777777" w:rsidR="00941BF3" w:rsidRDefault="00941BF3" w:rsidP="002668B1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vAlign w:val="center"/>
            <w:hideMark/>
          </w:tcPr>
          <w:p w14:paraId="7564F1F4" w14:textId="77777777" w:rsidR="00941BF3" w:rsidRDefault="00941BF3" w:rsidP="002668B1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6781357" w14:textId="77777777" w:rsidR="00941BF3" w:rsidRDefault="00941BF3" w:rsidP="00941BF3">
      <w:pPr>
        <w:shd w:val="clear" w:color="auto" w:fill="7C173A"/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9. Information in relation to the person subject to the notification obligation </w:t>
      </w:r>
    </w:p>
    <w:p w14:paraId="578AC56C" w14:textId="77777777" w:rsidR="00941BF3" w:rsidRDefault="00941BF3" w:rsidP="00941BF3">
      <w:pPr>
        <w:divId w:val="1250191508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lastRenderedPageBreak/>
        <w:t xml:space="preserve">2. Full chain of controlled undertakings through which the voting rights and/or the financial instruments are effectively held starting with the ultimate controlling natural person or legal entities (please add additional rows as necessary) </w:t>
      </w:r>
    </w:p>
    <w:tbl>
      <w:tblPr>
        <w:tblW w:w="45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1850"/>
        <w:gridCol w:w="1299"/>
        <w:gridCol w:w="2047"/>
        <w:gridCol w:w="1259"/>
      </w:tblGrid>
      <w:tr w:rsidR="00941BF3" w14:paraId="0A1A1F9E" w14:textId="77777777" w:rsidTr="00941BF3">
        <w:trPr>
          <w:divId w:val="1250191508"/>
        </w:trPr>
        <w:tc>
          <w:tcPr>
            <w:tcW w:w="1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1C4B1C1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Ultimate controlling person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1E3F3B4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Name of controlled undertaking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109423E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% 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>of</w:t>
            </w:r>
            <w:proofErr w:type="gramEnd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 voting rights if it equals or is higher than the notifiable threshold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B3F2D0C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% 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>of</w:t>
            </w:r>
            <w:proofErr w:type="gramEnd"/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 voting rights through financial instruments if it equals or is higher than the notifiable threshold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1B00E1B" w14:textId="77777777" w:rsidR="00941BF3" w:rsidRDefault="00941BF3" w:rsidP="002668B1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Total of both if it equals or is higher than the notifiable threshold </w:t>
            </w:r>
          </w:p>
        </w:tc>
      </w:tr>
      <w:tr w:rsidR="00941BF3" w14:paraId="59600880" w14:textId="77777777" w:rsidTr="00941BF3">
        <w:trPr>
          <w:divId w:val="1250191508"/>
        </w:trPr>
        <w:tc>
          <w:tcPr>
            <w:tcW w:w="1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73BA2FA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Brompton Asset Management Group LLP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5E81B9A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Brompton Asset Management Ltd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477A110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C6AAC8B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12.780000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36A2025" w14:textId="77777777" w:rsidR="00941BF3" w:rsidRDefault="00941BF3" w:rsidP="002668B1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</w:tbl>
    <w:p w14:paraId="54330744" w14:textId="77777777" w:rsidR="00941BF3" w:rsidRDefault="00941BF3" w:rsidP="00941BF3">
      <w:pPr>
        <w:shd w:val="clear" w:color="auto" w:fill="7C173A"/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10. In case of proxy voting </w:t>
      </w:r>
    </w:p>
    <w:p w14:paraId="44AAA3B4" w14:textId="77777777" w:rsidR="00941BF3" w:rsidRDefault="00941BF3" w:rsidP="00941BF3">
      <w:pPr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Name of the proxy holder </w:t>
      </w:r>
    </w:p>
    <w:p w14:paraId="61570EB9" w14:textId="77777777" w:rsidR="00941BF3" w:rsidRDefault="00941BF3" w:rsidP="00941BF3">
      <w:pPr>
        <w:divId w:val="1250191508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Brompton Asset Management Ltd </w:t>
      </w:r>
    </w:p>
    <w:p w14:paraId="63DCC358" w14:textId="77777777" w:rsidR="00941BF3" w:rsidRDefault="00941BF3" w:rsidP="00941BF3">
      <w:pPr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The number and % of voting rights held </w:t>
      </w:r>
    </w:p>
    <w:p w14:paraId="273EF5A4" w14:textId="77777777" w:rsidR="00941BF3" w:rsidRDefault="00941BF3" w:rsidP="00941BF3">
      <w:pPr>
        <w:divId w:val="1250191508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46,000,000 12.78% </w:t>
      </w:r>
    </w:p>
    <w:p w14:paraId="356252EB" w14:textId="77777777" w:rsidR="00941BF3" w:rsidRDefault="00941BF3" w:rsidP="00941BF3">
      <w:pPr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The date until which the voting rights will be held </w:t>
      </w:r>
    </w:p>
    <w:p w14:paraId="1813E002" w14:textId="77777777" w:rsidR="00941BF3" w:rsidRDefault="00941BF3" w:rsidP="00941BF3">
      <w:pPr>
        <w:divId w:val="1250191508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Until shares sold or management of portfolios change </w:t>
      </w:r>
    </w:p>
    <w:p w14:paraId="4D857003" w14:textId="77777777" w:rsidR="00941BF3" w:rsidRDefault="00941BF3" w:rsidP="00941BF3">
      <w:pPr>
        <w:shd w:val="clear" w:color="auto" w:fill="7C173A"/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11. Additional Information </w:t>
      </w:r>
    </w:p>
    <w:p w14:paraId="13270147" w14:textId="77777777" w:rsidR="00941BF3" w:rsidRDefault="00941BF3" w:rsidP="00941BF3">
      <w:pPr>
        <w:divId w:val="1250191508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This report represents voting rights held by accounts managed by Brompton Asset Management Ltd, including New Star Investment Trust plc. </w:t>
      </w:r>
    </w:p>
    <w:p w14:paraId="5A68C0A1" w14:textId="77777777" w:rsidR="00941BF3" w:rsidRDefault="00941BF3" w:rsidP="00941BF3">
      <w:pPr>
        <w:shd w:val="clear" w:color="auto" w:fill="7C173A"/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12. Date of Completion </w:t>
      </w:r>
    </w:p>
    <w:p w14:paraId="7FB2D765" w14:textId="77777777" w:rsidR="00941BF3" w:rsidRDefault="00941BF3" w:rsidP="00941BF3">
      <w:pPr>
        <w:divId w:val="1250191508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22-Dec-2021 </w:t>
      </w:r>
    </w:p>
    <w:p w14:paraId="0AFE4803" w14:textId="77777777" w:rsidR="00941BF3" w:rsidRDefault="00941BF3" w:rsidP="00941BF3">
      <w:pPr>
        <w:shd w:val="clear" w:color="auto" w:fill="7C173A"/>
        <w:divId w:val="12501915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13. Place </w:t>
      </w:r>
      <w:proofErr w:type="gramStart"/>
      <w:r>
        <w:rPr>
          <w:rFonts w:ascii="Verdana" w:eastAsia="Times New Roman" w:hAnsi="Verdana"/>
          <w:b/>
          <w:bCs/>
          <w:sz w:val="22"/>
          <w:szCs w:val="22"/>
        </w:rPr>
        <w:t>Of</w:t>
      </w:r>
      <w:proofErr w:type="gramEnd"/>
      <w:r>
        <w:rPr>
          <w:rFonts w:ascii="Verdana" w:eastAsia="Times New Roman" w:hAnsi="Verdana"/>
          <w:b/>
          <w:bCs/>
          <w:sz w:val="22"/>
          <w:szCs w:val="22"/>
        </w:rPr>
        <w:t xml:space="preserve"> Completion </w:t>
      </w:r>
    </w:p>
    <w:p w14:paraId="581D5A8E" w14:textId="77777777" w:rsidR="00941BF3" w:rsidRDefault="00941BF3" w:rsidP="00941BF3">
      <w:pPr>
        <w:divId w:val="1250191508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United Kingdom </w:t>
      </w:r>
    </w:p>
    <w:p w14:paraId="3F188F74" w14:textId="77777777" w:rsidR="00941BF3" w:rsidRDefault="00941BF3" w:rsidP="00941BF3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</w:p>
    <w:p w14:paraId="28916F18" w14:textId="6E5FAAF5" w:rsidR="00941BF3" w:rsidRDefault="00941BF3" w:rsidP="00941BF3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</w:p>
    <w:p w14:paraId="672E5E88" w14:textId="77777777" w:rsidR="00941BF3" w:rsidRPr="00C5445E" w:rsidRDefault="00941BF3" w:rsidP="00941BF3">
      <w:pPr>
        <w:shd w:val="clear" w:color="auto" w:fill="FFFFFF"/>
        <w:divId w:val="1250191508"/>
        <w:rPr>
          <w:rFonts w:ascii="Arial" w:eastAsia="Times New Roman" w:hAnsi="Arial" w:cs="Arial"/>
          <w:sz w:val="20"/>
          <w:szCs w:val="20"/>
          <w:lang w:val="en"/>
        </w:rPr>
      </w:pPr>
    </w:p>
    <w:sectPr w:rsidR="00941BF3" w:rsidRPr="00C54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26"/>
    <w:rsid w:val="000374EB"/>
    <w:rsid w:val="001640D1"/>
    <w:rsid w:val="00250B14"/>
    <w:rsid w:val="00465706"/>
    <w:rsid w:val="00941BF3"/>
    <w:rsid w:val="00C5445E"/>
    <w:rsid w:val="00C8058A"/>
    <w:rsid w:val="00F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B28BABC"/>
  <w15:chartTrackingRefBased/>
  <w15:docId w15:val="{1F9720D4-16ED-4E2C-BDD3-6C26D4C5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5445E"/>
    <w:rPr>
      <w:b/>
      <w:bCs/>
    </w:rPr>
  </w:style>
  <w:style w:type="character" w:styleId="Hyperlink">
    <w:name w:val="Hyperlink"/>
    <w:semiHidden/>
    <w:unhideWhenUsed/>
    <w:rsid w:val="00C5445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91508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brida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aire.noyce@hybrid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fredhenry.com" TargetMode="External"/><Relationship Id="rId5" Type="http://schemas.openxmlformats.org/officeDocument/2006/relationships/hyperlink" Target="mailto:jisaacs@alfredhenry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uralbroadbandsolution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597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Horn</dc:creator>
  <cp:keywords/>
  <dc:description/>
  <cp:lastModifiedBy>Jon Isaacs</cp:lastModifiedBy>
  <cp:revision>4</cp:revision>
  <dcterms:created xsi:type="dcterms:W3CDTF">2021-12-22T16:01:00Z</dcterms:created>
  <dcterms:modified xsi:type="dcterms:W3CDTF">2021-12-22T16:25:00Z</dcterms:modified>
</cp:coreProperties>
</file>